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ED4" w:rsidRDefault="00183ED4" w:rsidP="00183ED4">
      <w:pPr>
        <w:widowControl/>
        <w:tabs>
          <w:tab w:val="left" w:pos="0"/>
        </w:tabs>
        <w:suppressAutoHyphens w:val="0"/>
        <w:autoSpaceDE/>
        <w:autoSpaceDN w:val="0"/>
        <w:spacing w:line="240" w:lineRule="auto"/>
        <w:ind w:firstLine="0"/>
        <w:rPr>
          <w:sz w:val="28"/>
          <w:szCs w:val="28"/>
        </w:rPr>
      </w:pPr>
      <w:r>
        <w:rPr>
          <w:sz w:val="24"/>
          <w:szCs w:val="24"/>
        </w:rPr>
        <w:t xml:space="preserve">Необходимо написать рефераты по предмету </w:t>
      </w:r>
      <w:r>
        <w:rPr>
          <w:sz w:val="28"/>
          <w:szCs w:val="28"/>
        </w:rPr>
        <w:t>ИСТОРИЯ ОТЕЧЕСТВЕННОГО И ЗАРУБЕЖНОГО РЕЛИГИОВЕДЕНИЯ, для студента магистратуры Алтайского Государственного Университета</w:t>
      </w:r>
    </w:p>
    <w:p w:rsidR="00183ED4" w:rsidRDefault="00183ED4" w:rsidP="00183ED4">
      <w:pPr>
        <w:ind w:firstLine="0"/>
        <w:rPr>
          <w:sz w:val="24"/>
          <w:szCs w:val="24"/>
        </w:rPr>
      </w:pPr>
    </w:p>
    <w:p w:rsidR="00183ED4" w:rsidRDefault="00183ED4" w:rsidP="00183ED4">
      <w:pPr>
        <w:ind w:firstLine="0"/>
        <w:rPr>
          <w:sz w:val="24"/>
          <w:szCs w:val="24"/>
        </w:rPr>
      </w:pPr>
      <w:r>
        <w:rPr>
          <w:sz w:val="24"/>
          <w:szCs w:val="24"/>
        </w:rPr>
        <w:t>15 листов – шрифт 14 интервал 1,5</w:t>
      </w:r>
    </w:p>
    <w:p w:rsidR="00183ED4" w:rsidRDefault="00183ED4" w:rsidP="00183ED4">
      <w:pPr>
        <w:ind w:firstLine="0"/>
        <w:rPr>
          <w:sz w:val="24"/>
          <w:szCs w:val="24"/>
        </w:rPr>
      </w:pPr>
    </w:p>
    <w:p w:rsidR="00183ED4" w:rsidRDefault="00183ED4" w:rsidP="00183ED4">
      <w:pPr>
        <w:ind w:firstLine="0"/>
        <w:rPr>
          <w:sz w:val="24"/>
          <w:szCs w:val="24"/>
        </w:rPr>
      </w:pPr>
      <w:r>
        <w:rPr>
          <w:sz w:val="24"/>
          <w:szCs w:val="24"/>
        </w:rPr>
        <w:t>Темы рефератов взяты из перечня экзаменационных вопросов по дисциплине из следующего мануала:</w:t>
      </w:r>
    </w:p>
    <w:p w:rsidR="00183ED4" w:rsidRDefault="00183ED4" w:rsidP="00183ED4">
      <w:pPr>
        <w:ind w:firstLine="0"/>
        <w:rPr>
          <w:sz w:val="24"/>
          <w:szCs w:val="24"/>
        </w:rPr>
      </w:pPr>
    </w:p>
    <w:p w:rsidR="00183ED4" w:rsidRDefault="00183ED4" w:rsidP="00183ED4">
      <w:pPr>
        <w:spacing w:line="240" w:lineRule="auto"/>
        <w:jc w:val="center"/>
        <w:rPr>
          <w:b/>
          <w:sz w:val="28"/>
          <w:szCs w:val="28"/>
        </w:rPr>
      </w:pPr>
      <w:r>
        <w:rPr>
          <w:b/>
          <w:sz w:val="28"/>
          <w:szCs w:val="28"/>
        </w:rPr>
        <w:t>Министерство образования и науки РФ</w:t>
      </w:r>
    </w:p>
    <w:p w:rsidR="00183ED4" w:rsidRDefault="00183ED4" w:rsidP="00183ED4">
      <w:pPr>
        <w:spacing w:line="240" w:lineRule="auto"/>
        <w:jc w:val="center"/>
        <w:rPr>
          <w:b/>
          <w:sz w:val="28"/>
          <w:szCs w:val="28"/>
        </w:rPr>
      </w:pPr>
      <w:r>
        <w:rPr>
          <w:b/>
          <w:sz w:val="28"/>
          <w:szCs w:val="28"/>
        </w:rPr>
        <w:t>ФГБОУ ВПО «Алтайский государственный университет»</w:t>
      </w:r>
    </w:p>
    <w:p w:rsidR="00183ED4" w:rsidRDefault="00183ED4" w:rsidP="00183ED4">
      <w:pPr>
        <w:spacing w:line="240" w:lineRule="auto"/>
        <w:jc w:val="center"/>
        <w:rPr>
          <w:sz w:val="28"/>
          <w:szCs w:val="28"/>
        </w:rPr>
      </w:pPr>
    </w:p>
    <w:p w:rsidR="00183ED4" w:rsidRDefault="00183ED4" w:rsidP="00183ED4">
      <w:pPr>
        <w:spacing w:line="240" w:lineRule="auto"/>
        <w:jc w:val="center"/>
        <w:rPr>
          <w:sz w:val="28"/>
          <w:szCs w:val="28"/>
        </w:rPr>
      </w:pPr>
    </w:p>
    <w:p w:rsidR="00183ED4" w:rsidRDefault="00183ED4" w:rsidP="00183ED4">
      <w:pPr>
        <w:jc w:val="center"/>
        <w:rPr>
          <w:sz w:val="28"/>
          <w:szCs w:val="28"/>
        </w:rPr>
      </w:pPr>
      <w:r>
        <w:rPr>
          <w:sz w:val="28"/>
          <w:szCs w:val="28"/>
        </w:rPr>
        <w:t>Кафедра политической истории</w:t>
      </w:r>
    </w:p>
    <w:p w:rsidR="00183ED4" w:rsidRDefault="00183ED4" w:rsidP="00183ED4">
      <w:pPr>
        <w:spacing w:line="240" w:lineRule="auto"/>
        <w:jc w:val="center"/>
        <w:rPr>
          <w:sz w:val="28"/>
          <w:szCs w:val="28"/>
        </w:rPr>
      </w:pPr>
    </w:p>
    <w:p w:rsidR="00183ED4" w:rsidRDefault="00183ED4" w:rsidP="00183ED4">
      <w:pPr>
        <w:spacing w:line="240" w:lineRule="auto"/>
        <w:jc w:val="center"/>
        <w:rPr>
          <w:sz w:val="28"/>
          <w:szCs w:val="28"/>
        </w:rPr>
      </w:pPr>
    </w:p>
    <w:p w:rsidR="00183ED4" w:rsidRDefault="00183ED4" w:rsidP="00183ED4">
      <w:pPr>
        <w:spacing w:line="240" w:lineRule="auto"/>
        <w:jc w:val="center"/>
        <w:rPr>
          <w:sz w:val="28"/>
          <w:szCs w:val="28"/>
        </w:rPr>
      </w:pPr>
    </w:p>
    <w:p w:rsidR="00183ED4" w:rsidRDefault="00183ED4" w:rsidP="00183ED4">
      <w:pPr>
        <w:spacing w:line="240" w:lineRule="auto"/>
        <w:jc w:val="center"/>
        <w:rPr>
          <w:sz w:val="28"/>
          <w:szCs w:val="28"/>
        </w:rPr>
      </w:pPr>
    </w:p>
    <w:p w:rsidR="00183ED4" w:rsidRDefault="00183ED4" w:rsidP="00183ED4">
      <w:pPr>
        <w:spacing w:line="240" w:lineRule="auto"/>
        <w:jc w:val="center"/>
        <w:rPr>
          <w:sz w:val="28"/>
          <w:szCs w:val="28"/>
        </w:rPr>
      </w:pPr>
    </w:p>
    <w:p w:rsidR="00183ED4" w:rsidRDefault="00183ED4" w:rsidP="00183ED4">
      <w:pPr>
        <w:spacing w:line="240" w:lineRule="auto"/>
        <w:jc w:val="center"/>
        <w:rPr>
          <w:sz w:val="28"/>
          <w:szCs w:val="28"/>
        </w:rPr>
      </w:pPr>
    </w:p>
    <w:p w:rsidR="00183ED4" w:rsidRDefault="00183ED4" w:rsidP="00183ED4">
      <w:pPr>
        <w:spacing w:line="240" w:lineRule="auto"/>
        <w:jc w:val="center"/>
        <w:rPr>
          <w:sz w:val="28"/>
          <w:szCs w:val="28"/>
        </w:rPr>
      </w:pPr>
    </w:p>
    <w:p w:rsidR="00183ED4" w:rsidRDefault="00183ED4" w:rsidP="00183ED4">
      <w:pPr>
        <w:spacing w:line="240" w:lineRule="auto"/>
        <w:jc w:val="center"/>
        <w:rPr>
          <w:sz w:val="28"/>
          <w:szCs w:val="28"/>
        </w:rPr>
      </w:pPr>
    </w:p>
    <w:p w:rsidR="00183ED4" w:rsidRDefault="00183ED4" w:rsidP="00183ED4">
      <w:pPr>
        <w:spacing w:line="240" w:lineRule="auto"/>
        <w:jc w:val="center"/>
        <w:rPr>
          <w:sz w:val="28"/>
          <w:szCs w:val="28"/>
        </w:rPr>
      </w:pPr>
    </w:p>
    <w:p w:rsidR="00183ED4" w:rsidRDefault="00183ED4" w:rsidP="00183ED4">
      <w:pPr>
        <w:spacing w:line="240" w:lineRule="auto"/>
        <w:jc w:val="center"/>
        <w:rPr>
          <w:sz w:val="28"/>
          <w:szCs w:val="28"/>
        </w:rPr>
      </w:pPr>
    </w:p>
    <w:p w:rsidR="00183ED4" w:rsidRDefault="00183ED4" w:rsidP="00183ED4">
      <w:pPr>
        <w:spacing w:line="240" w:lineRule="auto"/>
        <w:jc w:val="center"/>
        <w:rPr>
          <w:sz w:val="28"/>
          <w:szCs w:val="28"/>
        </w:rPr>
      </w:pPr>
    </w:p>
    <w:p w:rsidR="00183ED4" w:rsidRDefault="00183ED4" w:rsidP="00183ED4">
      <w:pPr>
        <w:spacing w:line="240" w:lineRule="auto"/>
        <w:jc w:val="center"/>
        <w:rPr>
          <w:sz w:val="28"/>
          <w:szCs w:val="28"/>
        </w:rPr>
      </w:pPr>
    </w:p>
    <w:p w:rsidR="00183ED4" w:rsidRDefault="00183ED4" w:rsidP="00183ED4">
      <w:pPr>
        <w:spacing w:line="240" w:lineRule="auto"/>
        <w:jc w:val="center"/>
        <w:rPr>
          <w:b/>
          <w:sz w:val="28"/>
          <w:szCs w:val="28"/>
        </w:rPr>
      </w:pPr>
      <w:r>
        <w:rPr>
          <w:b/>
          <w:sz w:val="28"/>
          <w:szCs w:val="28"/>
        </w:rPr>
        <w:t>Учебно-методический комплекс по дисциплине</w:t>
      </w:r>
    </w:p>
    <w:p w:rsidR="00183ED4" w:rsidRDefault="00183ED4" w:rsidP="00183ED4">
      <w:pPr>
        <w:spacing w:line="240" w:lineRule="auto"/>
        <w:jc w:val="center"/>
        <w:rPr>
          <w:sz w:val="28"/>
          <w:szCs w:val="28"/>
        </w:rPr>
      </w:pPr>
    </w:p>
    <w:p w:rsidR="00183ED4" w:rsidRDefault="00183ED4" w:rsidP="00183ED4">
      <w:pPr>
        <w:spacing w:line="240" w:lineRule="auto"/>
        <w:jc w:val="center"/>
        <w:rPr>
          <w:sz w:val="28"/>
          <w:szCs w:val="28"/>
        </w:rPr>
      </w:pPr>
      <w:r>
        <w:rPr>
          <w:sz w:val="28"/>
          <w:szCs w:val="28"/>
        </w:rPr>
        <w:t>ИСТОРИЯ ОТЕЧЕСТВЕННОГО И ЗАРУБЕЖНОГО РЕЛИГИОВЕДЕНИЯ</w:t>
      </w:r>
    </w:p>
    <w:p w:rsidR="00183ED4" w:rsidRDefault="00183ED4" w:rsidP="00183ED4">
      <w:pPr>
        <w:spacing w:line="240" w:lineRule="auto"/>
        <w:jc w:val="center"/>
        <w:rPr>
          <w:sz w:val="28"/>
          <w:szCs w:val="28"/>
        </w:rPr>
      </w:pPr>
      <w:r>
        <w:rPr>
          <w:sz w:val="28"/>
          <w:szCs w:val="28"/>
        </w:rPr>
        <w:t>для направления подготовки магистров 033300.68 Религиоведение</w:t>
      </w:r>
    </w:p>
    <w:p w:rsidR="00183ED4" w:rsidRDefault="00183ED4" w:rsidP="00183ED4">
      <w:pPr>
        <w:spacing w:line="240" w:lineRule="auto"/>
        <w:jc w:val="center"/>
        <w:rPr>
          <w:sz w:val="28"/>
          <w:szCs w:val="28"/>
        </w:rPr>
      </w:pPr>
    </w:p>
    <w:p w:rsidR="00183ED4" w:rsidRDefault="00183ED4" w:rsidP="00183ED4">
      <w:pPr>
        <w:spacing w:line="240" w:lineRule="auto"/>
        <w:jc w:val="center"/>
        <w:rPr>
          <w:sz w:val="28"/>
          <w:szCs w:val="28"/>
        </w:rPr>
      </w:pPr>
    </w:p>
    <w:p w:rsidR="00183ED4" w:rsidRDefault="00183ED4" w:rsidP="00183ED4">
      <w:pPr>
        <w:spacing w:line="240" w:lineRule="auto"/>
        <w:jc w:val="center"/>
        <w:rPr>
          <w:sz w:val="28"/>
          <w:szCs w:val="28"/>
        </w:rPr>
      </w:pPr>
    </w:p>
    <w:p w:rsidR="00183ED4" w:rsidRDefault="00183ED4" w:rsidP="00183ED4">
      <w:pPr>
        <w:spacing w:line="240" w:lineRule="auto"/>
        <w:jc w:val="center"/>
        <w:rPr>
          <w:sz w:val="28"/>
          <w:szCs w:val="28"/>
        </w:rPr>
      </w:pPr>
    </w:p>
    <w:p w:rsidR="00183ED4" w:rsidRDefault="00183ED4" w:rsidP="00183ED4">
      <w:pPr>
        <w:spacing w:line="240" w:lineRule="auto"/>
        <w:jc w:val="center"/>
        <w:rPr>
          <w:sz w:val="28"/>
          <w:szCs w:val="28"/>
        </w:rPr>
      </w:pPr>
    </w:p>
    <w:p w:rsidR="00183ED4" w:rsidRDefault="00183ED4" w:rsidP="00183ED4">
      <w:pPr>
        <w:spacing w:line="240" w:lineRule="auto"/>
        <w:jc w:val="center"/>
        <w:rPr>
          <w:sz w:val="28"/>
          <w:szCs w:val="28"/>
        </w:rPr>
      </w:pPr>
    </w:p>
    <w:p w:rsidR="00183ED4" w:rsidRDefault="00183ED4" w:rsidP="00183ED4">
      <w:pPr>
        <w:spacing w:line="240" w:lineRule="auto"/>
        <w:jc w:val="center"/>
        <w:rPr>
          <w:sz w:val="28"/>
          <w:szCs w:val="28"/>
        </w:rPr>
      </w:pPr>
    </w:p>
    <w:p w:rsidR="00183ED4" w:rsidRDefault="00183ED4" w:rsidP="00183ED4">
      <w:pPr>
        <w:spacing w:line="240" w:lineRule="auto"/>
        <w:jc w:val="center"/>
        <w:rPr>
          <w:sz w:val="28"/>
          <w:szCs w:val="28"/>
        </w:rPr>
      </w:pPr>
    </w:p>
    <w:p w:rsidR="00183ED4" w:rsidRDefault="00183ED4" w:rsidP="00183ED4">
      <w:pPr>
        <w:rPr>
          <w:sz w:val="28"/>
          <w:szCs w:val="28"/>
        </w:rPr>
      </w:pPr>
      <w:r>
        <w:rPr>
          <w:sz w:val="28"/>
          <w:szCs w:val="28"/>
        </w:rPr>
        <w:t>Рассмотрено и утверждено</w:t>
      </w:r>
    </w:p>
    <w:p w:rsidR="00183ED4" w:rsidRDefault="00183ED4" w:rsidP="00183ED4">
      <w:pPr>
        <w:rPr>
          <w:sz w:val="28"/>
          <w:szCs w:val="28"/>
        </w:rPr>
      </w:pPr>
      <w:r>
        <w:rPr>
          <w:sz w:val="28"/>
          <w:szCs w:val="28"/>
        </w:rPr>
        <w:t xml:space="preserve">на заседании кафедры политической истории </w:t>
      </w:r>
    </w:p>
    <w:p w:rsidR="00183ED4" w:rsidRDefault="00183ED4" w:rsidP="00183ED4">
      <w:pPr>
        <w:rPr>
          <w:sz w:val="28"/>
          <w:szCs w:val="28"/>
        </w:rPr>
      </w:pPr>
      <w:r>
        <w:rPr>
          <w:sz w:val="28"/>
          <w:szCs w:val="28"/>
        </w:rPr>
        <w:t>от «21»  мая  2014г.</w:t>
      </w:r>
    </w:p>
    <w:p w:rsidR="00183ED4" w:rsidRDefault="00183ED4" w:rsidP="00183ED4">
      <w:pPr>
        <w:spacing w:line="240" w:lineRule="auto"/>
        <w:rPr>
          <w:sz w:val="28"/>
          <w:szCs w:val="28"/>
        </w:rPr>
      </w:pPr>
    </w:p>
    <w:p w:rsidR="00183ED4" w:rsidRDefault="00183ED4" w:rsidP="00183ED4">
      <w:pPr>
        <w:spacing w:line="240" w:lineRule="auto"/>
        <w:rPr>
          <w:sz w:val="28"/>
          <w:szCs w:val="28"/>
        </w:rPr>
      </w:pPr>
    </w:p>
    <w:p w:rsidR="00183ED4" w:rsidRDefault="00183ED4" w:rsidP="00183ED4">
      <w:pPr>
        <w:spacing w:line="240" w:lineRule="auto"/>
        <w:rPr>
          <w:sz w:val="28"/>
          <w:szCs w:val="28"/>
        </w:rPr>
      </w:pPr>
    </w:p>
    <w:p w:rsidR="00183ED4" w:rsidRDefault="00183ED4" w:rsidP="00183ED4">
      <w:pPr>
        <w:spacing w:line="240" w:lineRule="auto"/>
        <w:rPr>
          <w:sz w:val="28"/>
          <w:szCs w:val="28"/>
        </w:rPr>
      </w:pPr>
    </w:p>
    <w:p w:rsidR="00183ED4" w:rsidRDefault="00183ED4" w:rsidP="00183ED4">
      <w:pPr>
        <w:spacing w:line="240" w:lineRule="auto"/>
        <w:rPr>
          <w:sz w:val="28"/>
          <w:szCs w:val="28"/>
        </w:rPr>
      </w:pPr>
    </w:p>
    <w:p w:rsidR="00183ED4" w:rsidRDefault="00183ED4" w:rsidP="00183ED4">
      <w:pPr>
        <w:spacing w:line="240" w:lineRule="auto"/>
        <w:rPr>
          <w:sz w:val="28"/>
          <w:szCs w:val="28"/>
        </w:rPr>
      </w:pPr>
    </w:p>
    <w:p w:rsidR="00183ED4" w:rsidRDefault="00183ED4" w:rsidP="00183ED4">
      <w:pPr>
        <w:spacing w:line="240" w:lineRule="auto"/>
        <w:rPr>
          <w:sz w:val="28"/>
          <w:szCs w:val="28"/>
        </w:rPr>
      </w:pPr>
    </w:p>
    <w:p w:rsidR="00183ED4" w:rsidRDefault="00183ED4" w:rsidP="00183ED4">
      <w:pPr>
        <w:spacing w:line="240" w:lineRule="auto"/>
        <w:rPr>
          <w:sz w:val="28"/>
          <w:szCs w:val="28"/>
        </w:rPr>
      </w:pPr>
    </w:p>
    <w:p w:rsidR="00183ED4" w:rsidRDefault="00183ED4" w:rsidP="00183ED4">
      <w:pPr>
        <w:spacing w:line="240" w:lineRule="auto"/>
        <w:rPr>
          <w:sz w:val="28"/>
          <w:szCs w:val="28"/>
        </w:rPr>
      </w:pPr>
    </w:p>
    <w:p w:rsidR="00183ED4" w:rsidRDefault="00183ED4" w:rsidP="00183ED4">
      <w:pPr>
        <w:spacing w:line="240" w:lineRule="auto"/>
        <w:rPr>
          <w:sz w:val="28"/>
          <w:szCs w:val="28"/>
        </w:rPr>
      </w:pPr>
    </w:p>
    <w:p w:rsidR="00183ED4" w:rsidRDefault="00183ED4" w:rsidP="00183ED4">
      <w:pPr>
        <w:spacing w:line="240" w:lineRule="auto"/>
        <w:jc w:val="center"/>
        <w:rPr>
          <w:sz w:val="28"/>
          <w:szCs w:val="28"/>
        </w:rPr>
      </w:pPr>
      <w:r>
        <w:rPr>
          <w:sz w:val="28"/>
          <w:szCs w:val="28"/>
        </w:rPr>
        <w:t>Барнаул</w:t>
      </w:r>
    </w:p>
    <w:p w:rsidR="00183ED4" w:rsidRDefault="00183ED4" w:rsidP="00183ED4">
      <w:pPr>
        <w:ind w:firstLine="0"/>
        <w:jc w:val="center"/>
        <w:rPr>
          <w:b/>
          <w:caps/>
          <w:sz w:val="24"/>
          <w:szCs w:val="24"/>
        </w:rPr>
      </w:pPr>
      <w:r>
        <w:rPr>
          <w:sz w:val="28"/>
          <w:szCs w:val="28"/>
        </w:rPr>
        <w:br w:type="page"/>
      </w:r>
      <w:r>
        <w:rPr>
          <w:b/>
          <w:caps/>
          <w:sz w:val="24"/>
          <w:szCs w:val="24"/>
        </w:rPr>
        <w:t xml:space="preserve"> </w:t>
      </w:r>
    </w:p>
    <w:p w:rsidR="00183ED4" w:rsidRDefault="00183ED4" w:rsidP="00183ED4">
      <w:pPr>
        <w:ind w:firstLine="0"/>
        <w:jc w:val="center"/>
        <w:rPr>
          <w:b/>
          <w:caps/>
          <w:sz w:val="24"/>
          <w:szCs w:val="24"/>
        </w:rPr>
      </w:pPr>
      <w:r>
        <w:rPr>
          <w:b/>
          <w:caps/>
          <w:sz w:val="24"/>
          <w:szCs w:val="24"/>
        </w:rPr>
        <w:t>Методические рекомендации к курсу</w:t>
      </w:r>
    </w:p>
    <w:p w:rsidR="00183ED4" w:rsidRDefault="00183ED4" w:rsidP="00183ED4">
      <w:pPr>
        <w:spacing w:line="240" w:lineRule="auto"/>
        <w:rPr>
          <w:sz w:val="24"/>
          <w:szCs w:val="24"/>
        </w:rPr>
      </w:pPr>
      <w:r>
        <w:rPr>
          <w:sz w:val="24"/>
          <w:szCs w:val="24"/>
        </w:rPr>
        <w:t>Учебно-методический комплекс по курсу «История отечественного и зарубежного религиоведения» включает в себя темы и литературу к семинарским занятием с методическими рекомендациями по их подготовке, задания для самостоятельной работы, перечень вопросов к экзамену, критерии оценки знаний магистрантов.</w:t>
      </w:r>
    </w:p>
    <w:p w:rsidR="00183ED4" w:rsidRDefault="00183ED4" w:rsidP="00183ED4">
      <w:pPr>
        <w:spacing w:line="240" w:lineRule="auto"/>
        <w:ind w:firstLine="720"/>
        <w:rPr>
          <w:b/>
          <w:bCs/>
          <w:iCs/>
          <w:sz w:val="24"/>
          <w:szCs w:val="24"/>
        </w:rPr>
      </w:pPr>
      <w:r>
        <w:rPr>
          <w:b/>
          <w:bCs/>
          <w:iCs/>
          <w:sz w:val="24"/>
          <w:szCs w:val="24"/>
        </w:rPr>
        <w:t>Критерии оценки знаний магистрантов:</w:t>
      </w:r>
    </w:p>
    <w:p w:rsidR="00183ED4" w:rsidRDefault="00183ED4" w:rsidP="00183ED4">
      <w:pPr>
        <w:spacing w:line="240" w:lineRule="auto"/>
        <w:ind w:firstLine="720"/>
        <w:rPr>
          <w:sz w:val="24"/>
          <w:szCs w:val="24"/>
        </w:rPr>
      </w:pPr>
      <w:r>
        <w:rPr>
          <w:sz w:val="24"/>
          <w:szCs w:val="24"/>
        </w:rPr>
        <w:t>Критериями оценки знаний студентов в процессе освоения учебной дисциплины «История отечественного и зарубежного религиоведения» являются:</w:t>
      </w:r>
    </w:p>
    <w:p w:rsidR="00183ED4" w:rsidRDefault="00183ED4" w:rsidP="00183ED4">
      <w:pPr>
        <w:spacing w:line="240" w:lineRule="auto"/>
        <w:ind w:firstLine="709"/>
        <w:rPr>
          <w:sz w:val="24"/>
          <w:szCs w:val="24"/>
        </w:rPr>
      </w:pPr>
      <w:r>
        <w:rPr>
          <w:sz w:val="24"/>
          <w:szCs w:val="24"/>
        </w:rPr>
        <w:t>Основной критерий оценки при опросе включает  основные критерии качества знаний:</w:t>
      </w:r>
    </w:p>
    <w:p w:rsidR="00183ED4" w:rsidRDefault="00183ED4" w:rsidP="00183ED4">
      <w:pPr>
        <w:spacing w:line="240" w:lineRule="auto"/>
        <w:ind w:firstLine="709"/>
        <w:rPr>
          <w:sz w:val="24"/>
          <w:szCs w:val="24"/>
        </w:rPr>
      </w:pPr>
      <w:r>
        <w:rPr>
          <w:sz w:val="24"/>
          <w:szCs w:val="24"/>
        </w:rPr>
        <w:t>-  полнота и глубина самостоятельного усвоения фактического материала по теме;</w:t>
      </w:r>
    </w:p>
    <w:p w:rsidR="00183ED4" w:rsidRDefault="00183ED4" w:rsidP="00183ED4">
      <w:pPr>
        <w:spacing w:line="240" w:lineRule="auto"/>
        <w:ind w:firstLine="709"/>
        <w:rPr>
          <w:sz w:val="24"/>
          <w:szCs w:val="24"/>
        </w:rPr>
      </w:pPr>
      <w:r>
        <w:rPr>
          <w:sz w:val="24"/>
          <w:szCs w:val="24"/>
        </w:rPr>
        <w:t>-  осознанность, гибкость и конкретность в толковании материала;</w:t>
      </w:r>
    </w:p>
    <w:p w:rsidR="00183ED4" w:rsidRDefault="00183ED4" w:rsidP="00183ED4">
      <w:pPr>
        <w:spacing w:line="240" w:lineRule="auto"/>
        <w:ind w:firstLine="720"/>
        <w:rPr>
          <w:sz w:val="24"/>
          <w:szCs w:val="24"/>
        </w:rPr>
      </w:pPr>
      <w:r>
        <w:rPr>
          <w:sz w:val="24"/>
          <w:szCs w:val="24"/>
        </w:rPr>
        <w:t>-  действенность знаний, умение применять знания на практике</w:t>
      </w:r>
    </w:p>
    <w:p w:rsidR="00183ED4" w:rsidRDefault="00183ED4" w:rsidP="00183ED4">
      <w:pPr>
        <w:autoSpaceDN w:val="0"/>
        <w:adjustRightInd w:val="0"/>
        <w:spacing w:line="240" w:lineRule="auto"/>
        <w:ind w:firstLine="0"/>
        <w:rPr>
          <w:rFonts w:eastAsia="TimesNewRoman"/>
          <w:sz w:val="24"/>
          <w:szCs w:val="24"/>
        </w:rPr>
      </w:pPr>
      <w:r>
        <w:rPr>
          <w:rFonts w:eastAsia="TimesNewRoman"/>
          <w:sz w:val="24"/>
          <w:szCs w:val="24"/>
        </w:rPr>
        <w:t>Оценки «отлично» заслуживает магистрант,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w:t>
      </w:r>
    </w:p>
    <w:p w:rsidR="00183ED4" w:rsidRDefault="00183ED4" w:rsidP="00183ED4">
      <w:pPr>
        <w:autoSpaceDN w:val="0"/>
        <w:adjustRightInd w:val="0"/>
        <w:spacing w:line="240" w:lineRule="auto"/>
        <w:ind w:firstLine="0"/>
        <w:rPr>
          <w:rFonts w:eastAsia="TimesNewRoman"/>
          <w:sz w:val="24"/>
          <w:szCs w:val="24"/>
        </w:rPr>
      </w:pPr>
      <w:r>
        <w:rPr>
          <w:rFonts w:eastAsia="TimesNewRoman"/>
          <w:sz w:val="24"/>
          <w:szCs w:val="24"/>
        </w:rPr>
        <w:t>Как правило, оценка «отлично» выставляется магистрантам,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w:t>
      </w:r>
    </w:p>
    <w:p w:rsidR="00183ED4" w:rsidRDefault="00183ED4" w:rsidP="00183ED4">
      <w:pPr>
        <w:autoSpaceDN w:val="0"/>
        <w:adjustRightInd w:val="0"/>
        <w:spacing w:line="240" w:lineRule="auto"/>
        <w:ind w:firstLine="0"/>
        <w:rPr>
          <w:rFonts w:eastAsia="TimesNewRoman"/>
          <w:sz w:val="24"/>
          <w:szCs w:val="24"/>
        </w:rPr>
      </w:pPr>
      <w:r>
        <w:rPr>
          <w:rFonts w:eastAsia="TimesNewRoman"/>
          <w:sz w:val="24"/>
          <w:szCs w:val="24"/>
        </w:rPr>
        <w:t>Оценки «хорошо» заслуживает магистрант, обнаруживший полные знания учебно-программного материала, успешно выполняющий предусмотренные в программе задания, усвоивший основную литературу, рекомендованную в программе.</w:t>
      </w:r>
    </w:p>
    <w:p w:rsidR="00183ED4" w:rsidRDefault="00183ED4" w:rsidP="00183ED4">
      <w:pPr>
        <w:autoSpaceDN w:val="0"/>
        <w:adjustRightInd w:val="0"/>
        <w:spacing w:line="240" w:lineRule="auto"/>
        <w:ind w:firstLine="0"/>
        <w:rPr>
          <w:rFonts w:eastAsia="TimesNewRoman"/>
          <w:sz w:val="24"/>
          <w:szCs w:val="24"/>
        </w:rPr>
      </w:pPr>
      <w:r>
        <w:rPr>
          <w:rFonts w:eastAsia="TimesNewRoman"/>
          <w:sz w:val="24"/>
          <w:szCs w:val="24"/>
        </w:rPr>
        <w:t>Как правило, оценка «хорошо» выставляется магистрантам,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rsidR="00183ED4" w:rsidRDefault="00183ED4" w:rsidP="00183ED4">
      <w:pPr>
        <w:autoSpaceDN w:val="0"/>
        <w:adjustRightInd w:val="0"/>
        <w:spacing w:line="240" w:lineRule="auto"/>
        <w:ind w:firstLine="0"/>
        <w:rPr>
          <w:rFonts w:eastAsia="TimesNewRoman"/>
          <w:sz w:val="24"/>
          <w:szCs w:val="24"/>
        </w:rPr>
      </w:pPr>
      <w:r>
        <w:rPr>
          <w:rFonts w:eastAsia="TimesNewRoman"/>
          <w:sz w:val="24"/>
          <w:szCs w:val="24"/>
        </w:rPr>
        <w:t>Оценки «удовлетворительно» заслуживает магистрант, обнаруживший знание учебно-программного материала в объеме, необходимом для дальнейшей учебы и предстоящей работе по профессии, справляющийся с выполнением заданий, предусмотренных программой, знакомый с основной литературой, рекомендованной программой.</w:t>
      </w:r>
    </w:p>
    <w:p w:rsidR="00183ED4" w:rsidRDefault="00183ED4" w:rsidP="00183ED4">
      <w:pPr>
        <w:autoSpaceDN w:val="0"/>
        <w:adjustRightInd w:val="0"/>
        <w:spacing w:line="240" w:lineRule="auto"/>
        <w:ind w:firstLine="0"/>
        <w:rPr>
          <w:rFonts w:eastAsia="TimesNewRoman"/>
          <w:sz w:val="24"/>
          <w:szCs w:val="24"/>
        </w:rPr>
      </w:pPr>
      <w:r>
        <w:rPr>
          <w:rFonts w:eastAsia="TimesNewRoman"/>
          <w:sz w:val="24"/>
          <w:szCs w:val="24"/>
        </w:rPr>
        <w:t>Как правило, оценка «удовлетворительно» выставляется магистрантам, допустившим погрешности в ответе на экзамене и при выполнении экзаменационных заданий, но обладающих необходимыми знаниями для их устранения под руководством преподавателя.</w:t>
      </w:r>
    </w:p>
    <w:p w:rsidR="00183ED4" w:rsidRDefault="00183ED4" w:rsidP="00183ED4">
      <w:pPr>
        <w:autoSpaceDN w:val="0"/>
        <w:adjustRightInd w:val="0"/>
        <w:spacing w:line="240" w:lineRule="auto"/>
        <w:ind w:firstLine="0"/>
        <w:rPr>
          <w:rFonts w:eastAsia="TimesNewRoman"/>
          <w:sz w:val="24"/>
          <w:szCs w:val="24"/>
        </w:rPr>
      </w:pPr>
      <w:r>
        <w:rPr>
          <w:rFonts w:eastAsia="TimesNewRoman"/>
          <w:sz w:val="24"/>
          <w:szCs w:val="24"/>
        </w:rPr>
        <w:t xml:space="preserve">Оценка «неудовлетворительно» выставляется магистранту, обнаружившему существенные пробелы в знаниях основного учебно-программного материала, допустившему принципиальные ошибки в выполнении предусмотренных программой заданий. </w:t>
      </w:r>
    </w:p>
    <w:p w:rsidR="00183ED4" w:rsidRDefault="00183ED4" w:rsidP="00183ED4">
      <w:pPr>
        <w:pStyle w:val="a3"/>
        <w:jc w:val="center"/>
        <w:rPr>
          <w:b/>
          <w:caps/>
          <w:sz w:val="24"/>
          <w:szCs w:val="24"/>
        </w:rPr>
      </w:pPr>
      <w:r>
        <w:rPr>
          <w:b/>
          <w:sz w:val="24"/>
          <w:szCs w:val="24"/>
        </w:rPr>
        <w:br w:type="page"/>
      </w:r>
      <w:r>
        <w:rPr>
          <w:b/>
          <w:caps/>
          <w:sz w:val="24"/>
          <w:szCs w:val="24"/>
        </w:rPr>
        <w:t>Содержание учебной дисциплины</w:t>
      </w:r>
    </w:p>
    <w:p w:rsidR="00183ED4" w:rsidRDefault="00183ED4" w:rsidP="00183ED4">
      <w:pPr>
        <w:spacing w:line="240" w:lineRule="auto"/>
        <w:ind w:firstLine="720"/>
        <w:jc w:val="center"/>
        <w:rPr>
          <w:b/>
          <w:sz w:val="24"/>
          <w:szCs w:val="24"/>
        </w:rPr>
      </w:pPr>
      <w:r>
        <w:rPr>
          <w:b/>
          <w:sz w:val="24"/>
          <w:szCs w:val="24"/>
        </w:rPr>
        <w:t>Раздел 1. Зарождение религиоведения</w:t>
      </w:r>
    </w:p>
    <w:p w:rsidR="00183ED4" w:rsidRDefault="00183ED4" w:rsidP="00183ED4">
      <w:pPr>
        <w:spacing w:line="240" w:lineRule="auto"/>
        <w:ind w:firstLine="720"/>
        <w:jc w:val="center"/>
        <w:rPr>
          <w:b/>
          <w:sz w:val="24"/>
          <w:szCs w:val="24"/>
        </w:rPr>
      </w:pPr>
      <w:r>
        <w:rPr>
          <w:b/>
          <w:sz w:val="24"/>
          <w:szCs w:val="24"/>
        </w:rPr>
        <w:t>Тема 1. Становление научно-критического исследования религии: от Античности до рубежа 19-20вв. (Сравнительно-мифологическое, историческое, этнографическое религиоведение XIX–XX вв.. Сравнительно-мифологическое, историческое, этнографическое религиоведение XIX–XX вв.</w:t>
      </w:r>
    </w:p>
    <w:p w:rsidR="00183ED4" w:rsidRDefault="00183ED4" w:rsidP="00183ED4">
      <w:pPr>
        <w:spacing w:line="240" w:lineRule="auto"/>
        <w:ind w:firstLine="709"/>
        <w:rPr>
          <w:sz w:val="24"/>
          <w:szCs w:val="24"/>
        </w:rPr>
      </w:pPr>
      <w:r>
        <w:rPr>
          <w:sz w:val="24"/>
          <w:szCs w:val="24"/>
        </w:rPr>
        <w:t>Античные истоки науки о религии: суждение Гекатия Милетского (</w:t>
      </w:r>
      <w:r>
        <w:rPr>
          <w:sz w:val="24"/>
          <w:szCs w:val="24"/>
          <w:lang w:val="en-US"/>
        </w:rPr>
        <w:t>VI</w:t>
      </w:r>
      <w:r>
        <w:rPr>
          <w:sz w:val="24"/>
          <w:szCs w:val="24"/>
        </w:rPr>
        <w:t xml:space="preserve"> в. до н.э.) о социальных истоках религии, скептицизм и интерпретации гомеровской мифологии Феагена Регийского, Ксенофан и проблема антропоморфизма, софист Критий (</w:t>
      </w:r>
      <w:r>
        <w:rPr>
          <w:sz w:val="24"/>
          <w:szCs w:val="24"/>
          <w:lang w:val="en-US"/>
        </w:rPr>
        <w:t>V</w:t>
      </w:r>
      <w:r>
        <w:rPr>
          <w:sz w:val="24"/>
          <w:szCs w:val="24"/>
        </w:rPr>
        <w:t xml:space="preserve"> в. до н.э.) и его теория обмана, «Священная запись» Евгемера (</w:t>
      </w:r>
      <w:r>
        <w:rPr>
          <w:sz w:val="24"/>
          <w:szCs w:val="24"/>
          <w:lang w:val="en-US"/>
        </w:rPr>
        <w:t>IV</w:t>
      </w:r>
      <w:r>
        <w:rPr>
          <w:sz w:val="24"/>
          <w:szCs w:val="24"/>
        </w:rPr>
        <w:t xml:space="preserve"> в. до н.э.), описания религиозных представлений в трудах античных историков (Геродот, Диодор Сицилийский, Плутарх, Лукиан). Сочинения ранних христианских ересиологов (</w:t>
      </w:r>
      <w:r>
        <w:rPr>
          <w:iCs/>
          <w:color w:val="000000"/>
          <w:sz w:val="24"/>
          <w:szCs w:val="24"/>
        </w:rPr>
        <w:t>Юстина Философа, Иринея</w:t>
      </w:r>
      <w:r>
        <w:rPr>
          <w:color w:val="000000"/>
          <w:sz w:val="24"/>
          <w:szCs w:val="24"/>
        </w:rPr>
        <w:t xml:space="preserve"> Лионского, Ипполита Римского, </w:t>
      </w:r>
      <w:r>
        <w:rPr>
          <w:iCs/>
          <w:color w:val="000000"/>
          <w:sz w:val="24"/>
          <w:szCs w:val="24"/>
        </w:rPr>
        <w:t>Климента Александрийского</w:t>
      </w:r>
      <w:r>
        <w:rPr>
          <w:sz w:val="24"/>
          <w:szCs w:val="24"/>
        </w:rPr>
        <w:t xml:space="preserve">). Особенности средневековых концептуализаций нехристианских религиозных традиций («Сумма против язычников» Фомы Аквинского). Дескриптивное и сравнительно-историческое религиоведение Нового времени: «Религиозные обряды и церемонии всех народов мира» (1723), «Нравы дикарей Америки» Ж. Лаффито, труды Николя Фрере, Шарль де Брос «О культе богов-фетишей» (1760), «Происхождение всех культов, или Всеобщая религия» Ш. Дюпюи (1794). </w:t>
      </w:r>
    </w:p>
    <w:p w:rsidR="00183ED4" w:rsidRDefault="00183ED4" w:rsidP="00183ED4">
      <w:pPr>
        <w:tabs>
          <w:tab w:val="left" w:pos="0"/>
        </w:tabs>
        <w:spacing w:line="240" w:lineRule="auto"/>
        <w:ind w:firstLine="709"/>
        <w:rPr>
          <w:sz w:val="24"/>
          <w:szCs w:val="24"/>
        </w:rPr>
      </w:pPr>
      <w:r>
        <w:rPr>
          <w:sz w:val="24"/>
          <w:szCs w:val="24"/>
        </w:rPr>
        <w:t>Появление в 1804 г. ежегодника «R</w:t>
      </w:r>
      <w:r>
        <w:rPr>
          <w:sz w:val="24"/>
          <w:szCs w:val="24"/>
          <w:lang w:val="en-US"/>
        </w:rPr>
        <w:t>eligionswissenshaft</w:t>
      </w:r>
      <w:r>
        <w:rPr>
          <w:sz w:val="24"/>
          <w:szCs w:val="24"/>
        </w:rPr>
        <w:t xml:space="preserve">» и введение П. Лебланом понятии </w:t>
      </w:r>
      <w:r>
        <w:rPr>
          <w:sz w:val="24"/>
          <w:szCs w:val="24"/>
          <w:lang w:val="en-US"/>
        </w:rPr>
        <w:t>scince</w:t>
      </w:r>
      <w:r w:rsidRPr="00183ED4">
        <w:rPr>
          <w:sz w:val="24"/>
          <w:szCs w:val="24"/>
        </w:rPr>
        <w:t xml:space="preserve"> </w:t>
      </w:r>
      <w:r>
        <w:rPr>
          <w:sz w:val="24"/>
          <w:szCs w:val="24"/>
          <w:lang w:val="en-US"/>
        </w:rPr>
        <w:t>des</w:t>
      </w:r>
      <w:r w:rsidRPr="00183ED4">
        <w:rPr>
          <w:sz w:val="24"/>
          <w:szCs w:val="24"/>
        </w:rPr>
        <w:t xml:space="preserve"> </w:t>
      </w:r>
      <w:r>
        <w:rPr>
          <w:sz w:val="24"/>
          <w:szCs w:val="24"/>
          <w:lang w:val="en-US"/>
        </w:rPr>
        <w:t>religions</w:t>
      </w:r>
      <w:r>
        <w:rPr>
          <w:sz w:val="24"/>
          <w:szCs w:val="24"/>
        </w:rPr>
        <w:t xml:space="preserve"> – наука о религии. Бенжамен Констан де Ребекк «О религии, рассматриваемой в ее происхождении, формах и развитии» (1824–1831). Макс Мюллер впервые употребляет понятие </w:t>
      </w:r>
      <w:r>
        <w:rPr>
          <w:sz w:val="24"/>
          <w:szCs w:val="24"/>
          <w:lang w:val="en-US"/>
        </w:rPr>
        <w:t>science</w:t>
      </w:r>
      <w:r w:rsidRPr="00183ED4">
        <w:rPr>
          <w:sz w:val="24"/>
          <w:szCs w:val="24"/>
        </w:rPr>
        <w:t xml:space="preserve"> </w:t>
      </w:r>
      <w:r>
        <w:rPr>
          <w:sz w:val="24"/>
          <w:szCs w:val="24"/>
          <w:lang w:val="en-US"/>
        </w:rPr>
        <w:t>of</w:t>
      </w:r>
      <w:r w:rsidRPr="00183ED4">
        <w:rPr>
          <w:sz w:val="24"/>
          <w:szCs w:val="24"/>
        </w:rPr>
        <w:t xml:space="preserve"> </w:t>
      </w:r>
      <w:r>
        <w:rPr>
          <w:sz w:val="24"/>
          <w:szCs w:val="24"/>
          <w:lang w:val="en-US"/>
        </w:rPr>
        <w:t>religion</w:t>
      </w:r>
      <w:r>
        <w:rPr>
          <w:sz w:val="24"/>
          <w:szCs w:val="24"/>
        </w:rPr>
        <w:t xml:space="preserve"> в работе «Семитский монотеизм» (1860). “Основные принципы науки о религии” К. Тигле (1897–1899): необходимость преодоления конфессионального взгляда не религиозное; морфологическое и онтологическое (аналитико-феноменологическое и психолого-синтетического) исследование религиозного, уровни исследование религиозного (описание, сравнение, рассмотрение морфологии и эволюции установление физиологических и психологических оснований религиозного). Введение термина </w:t>
      </w:r>
      <w:r>
        <w:rPr>
          <w:i/>
          <w:sz w:val="24"/>
          <w:szCs w:val="24"/>
        </w:rPr>
        <w:t>феноменология религии</w:t>
      </w:r>
      <w:r>
        <w:rPr>
          <w:sz w:val="24"/>
          <w:szCs w:val="24"/>
        </w:rPr>
        <w:t xml:space="preserve"> П.Д. Шантепи де ля Соссей “История религии” (1899): феноменология религии как сопоставление и группировка религиозных явлений; отношении между историей, философией и феноменологией религии. Н. Зедерблом “Священное” (1913): применение феноменологических установок в истории религии, священное как интенциональный предмет религиозного сознания. Э. Леман “Наука о религии” (1914): классификация мира религиозных феноменов и идей на основании понятия </w:t>
      </w:r>
      <w:r>
        <w:rPr>
          <w:i/>
          <w:sz w:val="24"/>
          <w:szCs w:val="24"/>
        </w:rPr>
        <w:t>священного</w:t>
      </w:r>
      <w:r>
        <w:rPr>
          <w:sz w:val="24"/>
          <w:szCs w:val="24"/>
        </w:rPr>
        <w:t xml:space="preserve">. </w:t>
      </w:r>
    </w:p>
    <w:p w:rsidR="00183ED4" w:rsidRDefault="00183ED4" w:rsidP="00183ED4">
      <w:pPr>
        <w:tabs>
          <w:tab w:val="left" w:pos="1050"/>
        </w:tabs>
        <w:spacing w:line="240" w:lineRule="auto"/>
        <w:ind w:firstLine="709"/>
        <w:rPr>
          <w:sz w:val="24"/>
          <w:szCs w:val="24"/>
        </w:rPr>
      </w:pPr>
      <w:r>
        <w:rPr>
          <w:sz w:val="24"/>
          <w:szCs w:val="24"/>
        </w:rPr>
        <w:t>Становление отечественного религиоведения: «История Российская» В.Н. Татищева и проблема описания славянских религиозных представлений, исследования славянского пантеона в «Древней Российской истории» М.В. Ломоносова, рассмотрение религиозных представлений славян в «Истории государства Российского» Н.М. Карамзина. Сибиреведческие работы Г. Новицкого, Д.Г. Мессершмидта, С.П. Крашенинникова. Исследования естественной поэзии и мифологии в трудах В.И. Тридиаковского, Г.Н. Теплова, А.П. Сумаркова, Г.В. Козицкого, «Славянская мифология» А.С. Кайсарова, П.М. Строев и его «Краткое обозрение мифологии славян российских». Д.С. Аничков и проблема генезиса богопочитания, развитие идей Аничкова С.Е. Десницким</w:t>
      </w:r>
    </w:p>
    <w:p w:rsidR="00183ED4" w:rsidRDefault="00183ED4" w:rsidP="00183ED4">
      <w:pPr>
        <w:tabs>
          <w:tab w:val="left" w:pos="0"/>
        </w:tabs>
        <w:spacing w:line="240" w:lineRule="auto"/>
        <w:ind w:firstLine="709"/>
        <w:rPr>
          <w:b/>
          <w:i/>
          <w:sz w:val="24"/>
          <w:szCs w:val="24"/>
        </w:rPr>
      </w:pPr>
      <w:r>
        <w:rPr>
          <w:sz w:val="24"/>
          <w:szCs w:val="24"/>
        </w:rPr>
        <w:t>Сравнительно-мифологические и исторические исследования первобытной религии Дж. Фрезера, А. Ван Геннепа, Дж. Харисона, Ф.М. Корнфорда, А.Б. Кука, Г. Мэррея. Концепцию «естественного» происхождения мифов М. Мюллера, А. Куна; развитие идей сравнительной мифологии (Дж.Ф. Бирлайн, Э. Лэнг, М. Элиаде). Порядок соотношения мифологических и ритуальных систем: ритуалистические истоки и формы мифа (Ф. Рэглан, Я. де Фриз, Э. Миро, С. Хьюман); критика обрядовой теории (Д. Фонтенроуз, В. Бэском, К. Клакхон)..</w:t>
      </w:r>
      <w:r>
        <w:rPr>
          <w:b/>
          <w:i/>
          <w:sz w:val="24"/>
          <w:szCs w:val="24"/>
        </w:rPr>
        <w:t xml:space="preserve"> </w:t>
      </w:r>
      <w:r>
        <w:rPr>
          <w:sz w:val="24"/>
          <w:szCs w:val="24"/>
        </w:rPr>
        <w:t>Этнографические и сравнительно-религиоведческие исследования архаических форм религии в трудах Д.Н. Анучина, В.Г. Анохина, В.И. Вербицкого, Л.Я. Штернберга, В.Г. Богораза-Тана. Д.К. Зеленина. Необходимость эмпирических исследований в антропологии и общие характеристики полевой работы Б. Малиновского, Э. Эванса-Притчарда.</w:t>
      </w:r>
    </w:p>
    <w:p w:rsidR="00183ED4" w:rsidRDefault="00183ED4" w:rsidP="00183ED4">
      <w:pPr>
        <w:spacing w:line="240" w:lineRule="auto"/>
        <w:ind w:firstLine="709"/>
        <w:rPr>
          <w:sz w:val="24"/>
          <w:szCs w:val="24"/>
        </w:rPr>
      </w:pPr>
    </w:p>
    <w:p w:rsidR="00183ED4" w:rsidRDefault="00183ED4" w:rsidP="00183ED4">
      <w:pPr>
        <w:tabs>
          <w:tab w:val="left" w:pos="1785"/>
        </w:tabs>
        <w:spacing w:line="240" w:lineRule="auto"/>
        <w:ind w:firstLine="0"/>
        <w:jc w:val="center"/>
        <w:rPr>
          <w:b/>
          <w:sz w:val="24"/>
          <w:szCs w:val="24"/>
        </w:rPr>
      </w:pPr>
      <w:r>
        <w:rPr>
          <w:b/>
          <w:sz w:val="24"/>
          <w:szCs w:val="24"/>
        </w:rPr>
        <w:t>Раздел 2.</w:t>
      </w:r>
      <w:r>
        <w:rPr>
          <w:b/>
          <w:bCs/>
          <w:color w:val="000000"/>
          <w:sz w:val="20"/>
          <w:szCs w:val="20"/>
        </w:rPr>
        <w:t xml:space="preserve"> . </w:t>
      </w:r>
      <w:r>
        <w:rPr>
          <w:b/>
          <w:bCs/>
          <w:color w:val="000000"/>
          <w:sz w:val="28"/>
          <w:szCs w:val="28"/>
        </w:rPr>
        <w:t>Развитие религиоведения как академической дисциплины</w:t>
      </w:r>
      <w:r>
        <w:rPr>
          <w:b/>
          <w:sz w:val="28"/>
          <w:szCs w:val="28"/>
        </w:rPr>
        <w:t>.</w:t>
      </w:r>
    </w:p>
    <w:p w:rsidR="00183ED4" w:rsidRDefault="00183ED4" w:rsidP="00183ED4">
      <w:pPr>
        <w:tabs>
          <w:tab w:val="left" w:pos="1785"/>
        </w:tabs>
        <w:spacing w:line="240" w:lineRule="auto"/>
        <w:ind w:firstLine="0"/>
        <w:jc w:val="center"/>
        <w:rPr>
          <w:b/>
          <w:sz w:val="24"/>
          <w:szCs w:val="24"/>
        </w:rPr>
      </w:pPr>
      <w:r>
        <w:rPr>
          <w:b/>
          <w:sz w:val="24"/>
          <w:szCs w:val="24"/>
        </w:rPr>
        <w:t>Тема 2. Антропологическое религиоведение в XIX–XX вв. Становление и развитие феноменологического религиоведения в XIX– XX вв. История отечественного религиоведения в XX в.</w:t>
      </w:r>
    </w:p>
    <w:p w:rsidR="00183ED4" w:rsidRDefault="00183ED4" w:rsidP="00183ED4">
      <w:pPr>
        <w:tabs>
          <w:tab w:val="left" w:pos="1785"/>
        </w:tabs>
        <w:spacing w:line="240" w:lineRule="auto"/>
        <w:ind w:firstLine="709"/>
        <w:rPr>
          <w:sz w:val="24"/>
          <w:szCs w:val="24"/>
        </w:rPr>
      </w:pPr>
      <w:r>
        <w:rPr>
          <w:sz w:val="24"/>
          <w:szCs w:val="24"/>
        </w:rPr>
        <w:t>Теория первобытной культуры Э. Тайлора: возможности применения теории эволюции в рамках культурной антропологии; анимизм как первая форма религиозного и его дальнейшее развитие; характеристики первобытного мышления. Теория первобытной религии Дж. Фрезера:</w:t>
      </w:r>
      <w:r>
        <w:rPr>
          <w:i/>
          <w:sz w:val="24"/>
          <w:szCs w:val="24"/>
        </w:rPr>
        <w:t xml:space="preserve"> </w:t>
      </w:r>
      <w:r>
        <w:rPr>
          <w:sz w:val="24"/>
          <w:szCs w:val="24"/>
        </w:rPr>
        <w:t>религиозные мотивации социальных практик; магия как исходная форма религиозного, логика и типы магических практик; соотношение магии, религии и науки. Классическая социальная антропология Британии (Б. Малиновскй, А. Рэдклифф-Браун</w:t>
      </w:r>
      <w:r>
        <w:rPr>
          <w:i/>
          <w:sz w:val="24"/>
          <w:szCs w:val="24"/>
        </w:rPr>
        <w:t>,</w:t>
      </w:r>
      <w:r>
        <w:rPr>
          <w:sz w:val="24"/>
          <w:szCs w:val="24"/>
        </w:rPr>
        <w:t xml:space="preserve"> Э. Эванса-Притчарда): функциональный подход как диспозиция исследования культур (Б. Малиновскй); динамика и статика (история и структура) в социально-антропологических исследованиях, понятие процесса, социальной структуры и функции (</w:t>
      </w:r>
      <w:r>
        <w:rPr>
          <w:i/>
          <w:sz w:val="24"/>
          <w:szCs w:val="24"/>
        </w:rPr>
        <w:t>эвномия</w:t>
      </w:r>
      <w:r>
        <w:rPr>
          <w:sz w:val="24"/>
          <w:szCs w:val="24"/>
        </w:rPr>
        <w:t xml:space="preserve"> и </w:t>
      </w:r>
      <w:r>
        <w:rPr>
          <w:i/>
          <w:sz w:val="24"/>
          <w:szCs w:val="24"/>
        </w:rPr>
        <w:t>дисномия</w:t>
      </w:r>
      <w:r>
        <w:rPr>
          <w:sz w:val="24"/>
          <w:szCs w:val="24"/>
        </w:rPr>
        <w:t xml:space="preserve">) в работах  А. Рэдклиффа-Брауна; исследование социальной структуры в работах  Э. Эванса-Притчарда. Антропология Л. Леви-Брюля: тотальность коллективных представлений и социальные детерминации индивида; особенности пралогического мышления. Американская культурная антропология (Ф. Боас, А. Кребер, К. Клакхон, Э. Сепир):  гуманистические начала культурной антропологии; критика функционализма; необходимость изучения культуры как целого; культурный статус мифа и ритуала; обычай и бессознательные стереотипы социального поведения. Структурная антропология (К. Леви-Стросс, Э. Лич, В. Тэрнер): логика социального и структурные реализации социальных установлений; язык, системы родства и свойства, миф и ритуальная практика как реализации структуры; конкретная логика </w:t>
      </w:r>
      <w:r>
        <w:rPr>
          <w:i/>
          <w:sz w:val="24"/>
          <w:szCs w:val="24"/>
        </w:rPr>
        <w:t>неприрученной мысли</w:t>
      </w:r>
      <w:r>
        <w:rPr>
          <w:sz w:val="24"/>
          <w:szCs w:val="24"/>
        </w:rPr>
        <w:t xml:space="preserve"> и аналогии современного мышления; структура и </w:t>
      </w:r>
      <w:r>
        <w:rPr>
          <w:sz w:val="24"/>
          <w:szCs w:val="24"/>
          <w:lang w:val="en-US"/>
        </w:rPr>
        <w:t>communitas</w:t>
      </w:r>
      <w:r>
        <w:rPr>
          <w:sz w:val="24"/>
          <w:szCs w:val="24"/>
        </w:rPr>
        <w:t xml:space="preserve"> (спонтанная, нормативная, идеологическая); консерватизм и девоционализм. Критика структурной антропологии (Р. Жирар, М. Годелье).</w:t>
      </w:r>
    </w:p>
    <w:p w:rsidR="00183ED4" w:rsidRDefault="00183ED4" w:rsidP="00183ED4">
      <w:pPr>
        <w:spacing w:line="240" w:lineRule="auto"/>
        <w:ind w:firstLine="709"/>
        <w:rPr>
          <w:sz w:val="24"/>
          <w:szCs w:val="24"/>
        </w:rPr>
      </w:pPr>
      <w:r>
        <w:rPr>
          <w:sz w:val="24"/>
          <w:szCs w:val="24"/>
        </w:rPr>
        <w:t>Социология древнего мира Н. Фюстель де Куланжа: религиозное как доминантное и наиболее репрезентативное социальное образование. Предшественники французской школы: Ш. Фурье, К. А. де Сен Симон. Начала социологии О. Конта: социальная статика и социальная динамика; понятие социальной системы и закон трех стадий. Социологическая теория Г. Спенсера: концепция сверхъестественного существа, культ предков. Марксистская</w:t>
      </w:r>
      <w:r>
        <w:rPr>
          <w:b/>
          <w:i/>
          <w:sz w:val="24"/>
          <w:szCs w:val="24"/>
        </w:rPr>
        <w:t xml:space="preserve"> </w:t>
      </w:r>
      <w:r>
        <w:rPr>
          <w:sz w:val="24"/>
          <w:szCs w:val="24"/>
        </w:rPr>
        <w:t>политэкономия и  социология религии (К. Маркс, Ф. Энгельс, В.И. Ленин).</w:t>
      </w:r>
      <w:r>
        <w:rPr>
          <w:i/>
          <w:sz w:val="24"/>
          <w:szCs w:val="24"/>
        </w:rPr>
        <w:t xml:space="preserve"> </w:t>
      </w:r>
      <w:r>
        <w:rPr>
          <w:sz w:val="24"/>
          <w:szCs w:val="24"/>
        </w:rPr>
        <w:t>Формальная социология Г. Зиммеля: мир религии как мир среди возможных и действительных миров, социальное взаимодействие и нормативная функция религиозного, религиозное как основание социального единства. Французская школа (Э. Дюркгейм, М. Мосс, Л. Леви-Брюль): необходимость исследования элементарных форм, социальная морфология и социальная физика; оппозиция священного и мирского, понятие церкви, священные символы и обряды (негативные, позитивные и искупительные),  общество и трансцендентное. М. Мосс: социальная семантика жертвоприношений, магии и молитвы. Социология религии М. Вебера: корреляция религиозных установлений и экономической деятельности как основополагающая форма конструирования социального. Сакральная социология «Коллежа» (Ж. Батй, Р. Кайуа, М. Лейрис, Д. де Ружмон, Ж. Полан). Системно-функциональная социология Т. Парсонса и проблема религиозного.</w:t>
      </w:r>
    </w:p>
    <w:p w:rsidR="00183ED4" w:rsidRDefault="00183ED4" w:rsidP="00183ED4">
      <w:pPr>
        <w:tabs>
          <w:tab w:val="left" w:pos="1785"/>
        </w:tabs>
        <w:spacing w:line="240" w:lineRule="auto"/>
        <w:ind w:firstLine="709"/>
        <w:rPr>
          <w:sz w:val="24"/>
          <w:szCs w:val="24"/>
        </w:rPr>
      </w:pPr>
      <w:r>
        <w:rPr>
          <w:sz w:val="24"/>
          <w:szCs w:val="24"/>
        </w:rPr>
        <w:t xml:space="preserve">Начала дескриптивная психологии </w:t>
      </w:r>
      <w:r>
        <w:rPr>
          <w:sz w:val="24"/>
          <w:szCs w:val="24"/>
          <w:lang w:val="en-US"/>
        </w:rPr>
        <w:t>XIX</w:t>
      </w:r>
      <w:r>
        <w:rPr>
          <w:sz w:val="24"/>
          <w:szCs w:val="24"/>
        </w:rPr>
        <w:t xml:space="preserve"> в. Этнопсихология В. Вундта. Теория инстинктов социального поведения и проблемы религии У. Мак Дауголла. Эмпирические разыскания П. Шарко и П. Жане и психология религии. Исследование религиозного опыта У. Джеймса: универсалии религиозного опыта и его психологические основания. Бихевиористские интерпретация религии: исследование биологических оснований веры У.Р. Уэлса; исследование религиозного поведения Дж. Траута и Ф. Скиннера. Психоаналитические разыскания в области религиозного: исследования религиозного в контексте коллективного невроза З. Фрейла; психопатологические и архетипические религиозного К.Г. Юнга; Э. Фромм и социальная психология религиозного. Интерпретация религиозного в рамках «психологии самости» (Э. Эриксон, М. Кляйн, Х. Когут, А.М. Ризутто). Гуманистическая психология (В. Франкл, А. Маслоу) и реабилитация религиозного. Трансперсональная психология религии (С. Грофф, К. Уилбер, Р. Уолш). Структурный психоанализ Ж. Лакана: стадии онтогенеза и возможности исследования религиозного в контексте психологических инстанций субъекта. </w:t>
      </w:r>
    </w:p>
    <w:p w:rsidR="00183ED4" w:rsidRDefault="00183ED4" w:rsidP="00183ED4">
      <w:pPr>
        <w:tabs>
          <w:tab w:val="left" w:pos="1785"/>
        </w:tabs>
        <w:spacing w:line="240" w:lineRule="auto"/>
        <w:ind w:firstLine="709"/>
        <w:rPr>
          <w:sz w:val="24"/>
          <w:szCs w:val="24"/>
        </w:rPr>
      </w:pPr>
      <w:r>
        <w:rPr>
          <w:sz w:val="24"/>
          <w:szCs w:val="24"/>
        </w:rPr>
        <w:t xml:space="preserve">“Основные принципы науки о религии” К. Тигле (1897–1899). Введение термина </w:t>
      </w:r>
      <w:r>
        <w:rPr>
          <w:i/>
          <w:sz w:val="24"/>
          <w:szCs w:val="24"/>
        </w:rPr>
        <w:t>феноменология религии</w:t>
      </w:r>
      <w:r>
        <w:rPr>
          <w:sz w:val="24"/>
          <w:szCs w:val="24"/>
        </w:rPr>
        <w:t xml:space="preserve"> П.Д. Шантепи де ля Соссей “История религии” (1899): феноменология религии как сопоставление и группировка религиозных явлений; отношении между историей, философией и феноменологией религии. Н. Зедерблом “Священное” (1913): применение феноменологических установок в истории религии. Э. Леман “Наука о религии” (1914): классификация мира религиозных феноменов и идей на основании понятия </w:t>
      </w:r>
      <w:r>
        <w:rPr>
          <w:i/>
          <w:sz w:val="24"/>
          <w:szCs w:val="24"/>
        </w:rPr>
        <w:t>священного</w:t>
      </w:r>
      <w:r>
        <w:rPr>
          <w:sz w:val="24"/>
          <w:szCs w:val="24"/>
        </w:rPr>
        <w:t xml:space="preserve">. Классический период. Работа Р. Отто “Священное” (1917). Вопрос Священного и обнаружение нуминозного как основания и автономии религиозного. Элементарная структура нуминозного. Разработки Г. ван дер Леува: феноменология религии как систематическая дисциплина и интроспекция личного религиозного опыта. Задачи феноменологии религии согласно Ф. Хайлеру. Концентрическая структура религиозного: предметно-практический круг религиозного – </w:t>
      </w:r>
      <w:r>
        <w:rPr>
          <w:sz w:val="24"/>
          <w:szCs w:val="24"/>
          <w:lang w:val="en-US"/>
        </w:rPr>
        <w:t>sinnliche</w:t>
      </w:r>
      <w:r w:rsidRPr="00183ED4">
        <w:rPr>
          <w:sz w:val="24"/>
          <w:szCs w:val="24"/>
        </w:rPr>
        <w:t xml:space="preserve"> </w:t>
      </w:r>
      <w:r>
        <w:rPr>
          <w:sz w:val="24"/>
          <w:szCs w:val="24"/>
          <w:lang w:val="en-US"/>
        </w:rPr>
        <w:t>Erscheinunweit</w:t>
      </w:r>
      <w:r>
        <w:rPr>
          <w:sz w:val="24"/>
          <w:szCs w:val="24"/>
        </w:rPr>
        <w:t xml:space="preserve">, </w:t>
      </w:r>
      <w:r>
        <w:rPr>
          <w:sz w:val="24"/>
          <w:szCs w:val="24"/>
          <w:lang w:val="en-US"/>
        </w:rPr>
        <w:t>geistige</w:t>
      </w:r>
      <w:r w:rsidRPr="00183ED4">
        <w:rPr>
          <w:sz w:val="24"/>
          <w:szCs w:val="24"/>
        </w:rPr>
        <w:t xml:space="preserve"> </w:t>
      </w:r>
      <w:r>
        <w:rPr>
          <w:sz w:val="24"/>
          <w:szCs w:val="24"/>
          <w:lang w:val="en-US"/>
        </w:rPr>
        <w:t>Vorstellungswelt</w:t>
      </w:r>
      <w:r>
        <w:rPr>
          <w:sz w:val="24"/>
          <w:szCs w:val="24"/>
        </w:rPr>
        <w:t xml:space="preserve">, </w:t>
      </w:r>
      <w:r>
        <w:rPr>
          <w:sz w:val="24"/>
          <w:szCs w:val="24"/>
          <w:lang w:val="en-US"/>
        </w:rPr>
        <w:t>psychischhe</w:t>
      </w:r>
      <w:r w:rsidRPr="00183ED4">
        <w:rPr>
          <w:sz w:val="24"/>
          <w:szCs w:val="24"/>
        </w:rPr>
        <w:t xml:space="preserve"> </w:t>
      </w:r>
      <w:r>
        <w:rPr>
          <w:sz w:val="24"/>
          <w:szCs w:val="24"/>
          <w:lang w:val="en-US"/>
        </w:rPr>
        <w:t>Erlebniswelt</w:t>
      </w:r>
      <w:r>
        <w:rPr>
          <w:sz w:val="24"/>
          <w:szCs w:val="24"/>
        </w:rPr>
        <w:t>. Феноменологии религии К. Гольдаммера, Г. Виденгрена,  И. Ваха,  Г. Меншинга. Период постклассической феноменологии религии.</w:t>
      </w:r>
      <w:r>
        <w:rPr>
          <w:i/>
          <w:sz w:val="24"/>
          <w:szCs w:val="24"/>
        </w:rPr>
        <w:t xml:space="preserve"> </w:t>
      </w:r>
      <w:r>
        <w:rPr>
          <w:sz w:val="24"/>
          <w:szCs w:val="24"/>
        </w:rPr>
        <w:t>Герменевтика О. Больнова и герменевтическая логика Т. Липпса. Критика интенций классической феноменологии религии. В. Гантаке. Герменевтический подход к религии П. Рикера.</w:t>
      </w:r>
    </w:p>
    <w:p w:rsidR="00183ED4" w:rsidRDefault="00183ED4" w:rsidP="00183ED4">
      <w:pPr>
        <w:spacing w:line="240" w:lineRule="auto"/>
        <w:ind w:firstLine="709"/>
        <w:rPr>
          <w:sz w:val="24"/>
          <w:szCs w:val="24"/>
        </w:rPr>
      </w:pPr>
      <w:r>
        <w:rPr>
          <w:sz w:val="24"/>
          <w:szCs w:val="24"/>
        </w:rPr>
        <w:t xml:space="preserve">Этнографические и сравнительно-религиоведческие исследования архаических форм религии в трудах Л.Я. Штернберга, В.Г. Богораза-Тана. Д.К. Зеленина. Выступление Н.М. Никольского «Религия как предмет науки» (1922). Изучение религиозных представлений (мифа и ритуала) с точки зрения развития материальной и ментальной культуры (И.Г. Франк-Коменски, О.М. Фрейденберг, Б.Л. Богаевский, И.М. Тронский). Исследование проблем первобытного мышления в работах В.Я. Проппа, А.М. Золоторева, А.Ф. Анисимова, М.И. Стеблин-Каменского, М.И. Шахнович, М.Э. Матье, И.М. Дьяконова. Исследования религиозных традиций Австралии и Океании (М.С. Бутинова, В.Р. Кабо), Африки (Б.И. Шаревская, Н.Е. Григорович, А.А. Громыко, В.Б. Мириманов), Китая (Л.С. Васильев, Б.Л. Рифтин, Л.Е. Померанцева, Е.А. Торчинов), Японии (Н.Н. Конрад, С.А. Арутюнов, Г.Е. Светлов, А.Н. Мещеряков), Латинской Америки (Р.В. Кинжалов, Ю.В. Кнорозов, Ю.Е. Березкин). Отечественная славнистика (К.В. Чистов, Б.А. Рыбакоа, В.В. Иванов, В.Н. Топоров). Исследования в области истории христианства и библиистики (И.С. Свенцицкая, С.Г. Лозинский, Н..М. Никольский, А.Б. Ранович, И.Д. Амусин, И.Ш. Шифман, М.И. Рижский). Специфика отечественного исламоведения (В.В. Бартольд, Е.С. Бертельс, И.Ю. Крачковский, М.Б. Пиотровский). Исследования новых религиозных движений (Балагушкин Е.Г., Бартошевич Э.М., Борисоглебский Е.И., Белов А.В., Иваненко С.И., Ковальчук Ю.С., Митрохин Л.Н.). </w:t>
      </w:r>
    </w:p>
    <w:p w:rsidR="00183ED4" w:rsidRDefault="00183ED4" w:rsidP="00183ED4">
      <w:pPr>
        <w:spacing w:line="240" w:lineRule="auto"/>
        <w:ind w:firstLine="709"/>
        <w:rPr>
          <w:sz w:val="24"/>
          <w:szCs w:val="24"/>
        </w:rPr>
      </w:pPr>
      <w:r>
        <w:rPr>
          <w:sz w:val="24"/>
          <w:szCs w:val="24"/>
        </w:rPr>
        <w:t xml:space="preserve">Этнографические и сравнительно-религиоведческие исследования архаических форм религии в трудах Л.Я. Штернберга, В.Г. Богораза-Тана. Д.К. Зеленина. Выступление Н.М. Никольского «Религия как предмет науки» (1922). Изучение религиозных представлений (мифа и ритуала) с точки зрения развития материальной и ментальной культуры (И.Г. Франк-Коменски, О.М. Фрейденберг, Б.Л. Богаевский, И.М. Тронский). Исследование проблем первобытного мышления в работах В.Я. Проппа, А.М. Золоторева, А.Ф. Анисимова, М.И. Стеблин-Каменского, М.И. Шахнович, М.Э. Матье, И.М. Дьяконова. Исследования религиозных традиций Австралии и Океании (М.С. Бутинова, В.Р. Кабо), Африки (Б.И. Шаревская, Н.Е. Григорович, А.А. Громыко, В.Б. Мириманов), Китая (Л.С. Васильев, Б.Л. Рифтин, Л.Е. Померанцева, Е.А. Торчинов), Японии (Н.Н. Конрад, С.А. Арутюнов, Г.Е. Светлов, А.Н. Мещеряков), Латинской Америки (Р.В. Кинжалов, Ю.В. Кнорозов, Ю.Е. Березкин). Отечественная славнистика (К.В. Чистов, Б.А. Рыбакоа, В.В. Иванов, В.Н. Топоров). Исследования в области истории христианства и библиистики (И.С. Свенцицкая, С.Г. Лозинский, Н..М. Никольский, А.Б. Ранович, И.Д. Амусин, И.Ш. Шифман, М.И. Рижский). Специфика отечественного исламоведения (В.В. Бартольд, Е.С. Бертельс, И.Ю. Крачковский, М.Б. Пиотровский). Исследования новых религиозных движений (Балагушкин Е.Г., Бартошевич Э.М., Борисоглебский Е.И., Белов А.В., Иваненко С.И., Ковальчук Ю.С., Митрохин Л.Н.). </w:t>
      </w:r>
    </w:p>
    <w:p w:rsidR="00183ED4" w:rsidRDefault="00183ED4" w:rsidP="00183ED4">
      <w:pPr>
        <w:shd w:val="clear" w:color="auto" w:fill="FFFFFF"/>
        <w:spacing w:line="240" w:lineRule="auto"/>
        <w:ind w:firstLine="0"/>
        <w:rPr>
          <w:b/>
          <w:bCs/>
          <w:sz w:val="24"/>
          <w:szCs w:val="24"/>
        </w:rPr>
      </w:pPr>
      <w:r>
        <w:rPr>
          <w:b/>
          <w:bCs/>
          <w:sz w:val="24"/>
          <w:szCs w:val="24"/>
        </w:rPr>
        <w:t xml:space="preserve"> </w:t>
      </w:r>
    </w:p>
    <w:p w:rsidR="00884BE3" w:rsidRDefault="00884BE3" w:rsidP="00183ED4"/>
    <w:sectPr w:rsidR="00884BE3" w:rsidSect="00884B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2FF" w:usb1="0000FCFF" w:usb2="00000001"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0DE"/>
    <w:multiLevelType w:val="hybridMultilevel"/>
    <w:tmpl w:val="9836B4C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C261C3"/>
    <w:multiLevelType w:val="hybridMultilevel"/>
    <w:tmpl w:val="77C8C7B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DB3F42"/>
    <w:multiLevelType w:val="hybridMultilevel"/>
    <w:tmpl w:val="F3129E1E"/>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8202B2D"/>
    <w:multiLevelType w:val="hybridMultilevel"/>
    <w:tmpl w:val="4FEED59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0E52F1B"/>
    <w:multiLevelType w:val="hybridMultilevel"/>
    <w:tmpl w:val="D8EA0DD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0F97A48"/>
    <w:multiLevelType w:val="hybridMultilevel"/>
    <w:tmpl w:val="DFC41E2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3FC6BC6"/>
    <w:multiLevelType w:val="hybridMultilevel"/>
    <w:tmpl w:val="D47AE51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183ED4"/>
    <w:rsid w:val="00183ED4"/>
    <w:rsid w:val="001E734E"/>
    <w:rsid w:val="00884BE3"/>
    <w:rsid w:val="00F42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ED4"/>
    <w:pPr>
      <w:widowControl w:val="0"/>
      <w:suppressAutoHyphens/>
      <w:autoSpaceDE w:val="0"/>
      <w:spacing w:after="0" w:line="252" w:lineRule="auto"/>
      <w:ind w:firstLine="400"/>
      <w:jc w:val="both"/>
    </w:pPr>
    <w:rPr>
      <w:rFonts w:ascii="Times New Roman" w:eastAsia="Times New Roman" w:hAnsi="Times New Roman" w:cs="Times New Roman"/>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
    <w:semiHidden/>
    <w:unhideWhenUsed/>
    <w:rsid w:val="00183ED4"/>
    <w:pPr>
      <w:widowControl/>
      <w:suppressAutoHyphens w:val="0"/>
      <w:autoSpaceDE/>
      <w:spacing w:line="240" w:lineRule="auto"/>
      <w:ind w:firstLine="0"/>
      <w:jc w:val="left"/>
    </w:pPr>
    <w:rPr>
      <w:rFonts w:asciiTheme="minorHAnsi" w:eastAsiaTheme="minorHAnsi" w:hAnsiTheme="minorHAnsi" w:cstheme="minorBidi"/>
      <w:sz w:val="22"/>
      <w:szCs w:val="22"/>
    </w:rPr>
  </w:style>
  <w:style w:type="character" w:customStyle="1" w:styleId="a4">
    <w:name w:val="Текст Знак"/>
    <w:basedOn w:val="a0"/>
    <w:link w:val="a3"/>
    <w:uiPriority w:val="99"/>
    <w:semiHidden/>
    <w:rsid w:val="00183ED4"/>
    <w:rPr>
      <w:rFonts w:ascii="Consolas" w:eastAsia="Times New Roman" w:hAnsi="Consolas" w:cs="Times New Roman"/>
      <w:sz w:val="21"/>
      <w:szCs w:val="21"/>
      <w:lang w:eastAsia="ar-SA"/>
    </w:rPr>
  </w:style>
  <w:style w:type="paragraph" w:customStyle="1" w:styleId="10">
    <w:name w:val="Абзац списка1"/>
    <w:basedOn w:val="a"/>
    <w:rsid w:val="00183ED4"/>
    <w:pPr>
      <w:tabs>
        <w:tab w:val="left" w:pos="709"/>
      </w:tabs>
      <w:autoSpaceDE/>
      <w:spacing w:after="200" w:line="276" w:lineRule="atLeast"/>
      <w:ind w:firstLine="0"/>
      <w:jc w:val="left"/>
    </w:pPr>
    <w:rPr>
      <w:rFonts w:ascii="Calibri" w:eastAsia="Calibri" w:hAnsi="Calibri" w:cs="Calibri"/>
      <w:kern w:val="2"/>
      <w:sz w:val="22"/>
      <w:szCs w:val="24"/>
      <w:lang w:eastAsia="hi-IN" w:bidi="hi-IN"/>
    </w:rPr>
  </w:style>
  <w:style w:type="character" w:customStyle="1" w:styleId="1">
    <w:name w:val="Текст Знак1"/>
    <w:basedOn w:val="a0"/>
    <w:link w:val="a3"/>
    <w:semiHidden/>
    <w:locked/>
    <w:rsid w:val="00183ED4"/>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2372</Words>
  <Characters>13526</Characters>
  <Application>Microsoft Office Word</Application>
  <DocSecurity>0</DocSecurity>
  <Lines>112</Lines>
  <Paragraphs>31</Paragraphs>
  <ScaleCrop>false</ScaleCrop>
  <Company>SPecialiST RePack</Company>
  <LinksUpToDate>false</LinksUpToDate>
  <CharactersWithSpaces>15867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Просвещение Просвещение</dc:creator>
  <cp:lastModifiedBy>911</cp:lastModifiedBy>
  <cp:revision>2</cp:revision>
  <dcterms:created xsi:type="dcterms:W3CDTF">2017-07-13T12:26:00Z</dcterms:created>
  <dcterms:modified xsi:type="dcterms:W3CDTF">2017-07-13T12:26:00Z</dcterms:modified>
</cp:coreProperties>
</file>